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60" w:firstLineChars="200"/>
        <w:jc w:val="left"/>
        <w:rPr>
          <w:rFonts w:ascii="宋体" w:hAnsi="宋体" w:eastAsia="宋体" w:cs="宋体"/>
          <w:kern w:val="0"/>
          <w:sz w:val="24"/>
          <w:szCs w:val="24"/>
        </w:rPr>
      </w:pPr>
      <w:r>
        <w:rPr>
          <w:rFonts w:ascii="宋体" w:hAnsi="宋体" w:eastAsia="宋体" w:cs="宋体"/>
          <w:kern w:val="0"/>
          <w:sz w:val="23"/>
          <w:szCs w:val="23"/>
        </w:rPr>
        <w:t>2023年2月17日</w:t>
      </w:r>
      <w:r>
        <w:rPr>
          <w:rFonts w:hint="eastAsia" w:ascii="宋体" w:hAnsi="宋体" w:eastAsia="宋体" w:cs="宋体"/>
          <w:kern w:val="0"/>
          <w:sz w:val="24"/>
          <w:szCs w:val="24"/>
        </w:rPr>
        <w:t>，</w:t>
      </w:r>
      <w:r>
        <w:rPr>
          <w:rFonts w:ascii="宋体" w:hAnsi="宋体" w:eastAsia="宋体" w:cs="宋体"/>
          <w:kern w:val="0"/>
          <w:sz w:val="23"/>
          <w:szCs w:val="23"/>
        </w:rPr>
        <w:t>中国证券监督管理委员会2023年第2次委务会议审议通过</w:t>
      </w:r>
      <w:r>
        <w:rPr>
          <w:rFonts w:ascii="宋体" w:hAnsi="宋体" w:eastAsia="宋体" w:cs="宋体"/>
          <w:b/>
          <w:bCs/>
          <w:kern w:val="0"/>
          <w:sz w:val="23"/>
          <w:szCs w:val="23"/>
        </w:rPr>
        <w:t>《首次公开发行股票注册管理办法》</w:t>
      </w:r>
      <w:r>
        <w:rPr>
          <w:rFonts w:hint="eastAsia" w:ascii="宋体" w:hAnsi="宋体" w:eastAsia="宋体" w:cs="宋体"/>
          <w:kern w:val="0"/>
          <w:sz w:val="23"/>
          <w:szCs w:val="23"/>
        </w:rPr>
        <w:t>，并</w:t>
      </w:r>
      <w:r>
        <w:rPr>
          <w:rFonts w:ascii="宋体" w:hAnsi="宋体" w:eastAsia="宋体" w:cs="宋体"/>
          <w:kern w:val="0"/>
          <w:sz w:val="23"/>
          <w:szCs w:val="23"/>
        </w:rPr>
        <w:t>自公布之日起施行 </w:t>
      </w:r>
    </w:p>
    <w:p>
      <w:pPr>
        <w:widowControl/>
        <w:ind w:firstLine="460" w:firstLineChars="200"/>
        <w:jc w:val="left"/>
        <w:rPr>
          <w:rFonts w:ascii="宋体" w:hAnsi="宋体" w:eastAsia="宋体" w:cs="宋体"/>
          <w:kern w:val="0"/>
          <w:sz w:val="24"/>
          <w:szCs w:val="24"/>
        </w:rPr>
      </w:pPr>
      <w:r>
        <w:rPr>
          <w:rFonts w:ascii="宋体" w:hAnsi="宋体" w:eastAsia="宋体" w:cs="宋体"/>
          <w:kern w:val="0"/>
          <w:sz w:val="23"/>
          <w:szCs w:val="23"/>
        </w:rPr>
        <w:t>为方便投资者理解注册制的主要内容以及全面实行注册制的重要意义</w:t>
      </w:r>
      <w:r>
        <w:rPr>
          <w:rFonts w:hint="eastAsia" w:ascii="宋体" w:hAnsi="宋体" w:eastAsia="宋体" w:cs="宋体"/>
          <w:kern w:val="0"/>
          <w:sz w:val="23"/>
          <w:szCs w:val="23"/>
        </w:rPr>
        <w:t>，</w:t>
      </w:r>
      <w:r>
        <w:rPr>
          <w:rFonts w:ascii="宋体" w:hAnsi="宋体" w:eastAsia="宋体" w:cs="宋体"/>
          <w:kern w:val="0"/>
          <w:sz w:val="23"/>
          <w:szCs w:val="23"/>
        </w:rPr>
        <w:t>现特别推出315投资者保护主题文章</w:t>
      </w:r>
      <w:r>
        <w:rPr>
          <w:rFonts w:hint="eastAsia" w:ascii="宋体" w:hAnsi="宋体" w:eastAsia="宋体" w:cs="宋体"/>
          <w:kern w:val="0"/>
          <w:sz w:val="23"/>
          <w:szCs w:val="23"/>
        </w:rPr>
        <w:t>。</w:t>
      </w:r>
      <w:r>
        <w:rPr>
          <w:rFonts w:ascii="宋体" w:hAnsi="宋体" w:eastAsia="宋体" w:cs="宋体"/>
          <w:kern w:val="0"/>
          <w:sz w:val="23"/>
          <w:szCs w:val="23"/>
        </w:rPr>
        <w:t>将专业知识通俗化</w:t>
      </w:r>
      <w:r>
        <w:rPr>
          <w:rFonts w:hint="eastAsia" w:ascii="宋体" w:hAnsi="宋体" w:eastAsia="宋体" w:cs="宋体"/>
          <w:kern w:val="0"/>
          <w:sz w:val="24"/>
          <w:szCs w:val="24"/>
        </w:rPr>
        <w:t>，</w:t>
      </w:r>
      <w:r>
        <w:rPr>
          <w:rFonts w:ascii="宋体" w:hAnsi="宋体" w:eastAsia="宋体" w:cs="宋体"/>
          <w:kern w:val="0"/>
          <w:sz w:val="23"/>
          <w:szCs w:val="23"/>
        </w:rPr>
        <w:t>为投资者普及金融专业知识</w:t>
      </w:r>
      <w:r>
        <w:rPr>
          <w:rFonts w:hint="eastAsia" w:ascii="宋体" w:hAnsi="宋体" w:eastAsia="宋体" w:cs="宋体"/>
          <w:kern w:val="0"/>
          <w:sz w:val="24"/>
          <w:szCs w:val="24"/>
        </w:rPr>
        <w:t>，</w:t>
      </w:r>
      <w:r>
        <w:rPr>
          <w:rFonts w:ascii="宋体" w:hAnsi="宋体" w:eastAsia="宋体" w:cs="宋体"/>
          <w:kern w:val="0"/>
          <w:sz w:val="23"/>
          <w:szCs w:val="23"/>
        </w:rPr>
        <w:t>以实际行动保护投资者权益</w:t>
      </w:r>
      <w:r>
        <w:rPr>
          <w:rFonts w:hint="eastAsia" w:ascii="宋体" w:hAnsi="宋体" w:eastAsia="宋体" w:cs="宋体"/>
          <w:kern w:val="0"/>
          <w:sz w:val="23"/>
          <w:szCs w:val="23"/>
        </w:rPr>
        <w:t>。</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b/>
          <w:bCs/>
          <w:kern w:val="0"/>
          <w:sz w:val="24"/>
          <w:szCs w:val="24"/>
        </w:rPr>
        <w:t>何为注册制</w:t>
      </w:r>
    </w:p>
    <w:p>
      <w:pPr>
        <w:widowControl/>
        <w:ind w:firstLine="480"/>
        <w:jc w:val="left"/>
        <w:rPr>
          <w:rFonts w:ascii="宋体" w:hAnsi="宋体" w:eastAsia="宋体" w:cs="宋体"/>
          <w:kern w:val="0"/>
          <w:sz w:val="24"/>
          <w:szCs w:val="24"/>
        </w:rPr>
      </w:pPr>
      <w:r>
        <w:rPr>
          <w:rFonts w:ascii="宋体" w:hAnsi="宋体" w:eastAsia="宋体" w:cs="宋体"/>
          <w:kern w:val="0"/>
          <w:sz w:val="24"/>
          <w:szCs w:val="24"/>
        </w:rPr>
        <w:t>注册制，即证券市场的证券发行注册制，是公司发行证券上市的制度，其区别于核准制。</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74310" cy="5474335"/>
            <wp:effectExtent l="0" t="0" r="2540"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5474335"/>
                    </a:xfrm>
                    <a:prstGeom prst="rect">
                      <a:avLst/>
                    </a:prstGeom>
                    <a:noFill/>
                    <a:ln>
                      <a:noFill/>
                    </a:ln>
                  </pic:spPr>
                </pic:pic>
              </a:graphicData>
            </a:graphic>
          </wp:inline>
        </w:drawing>
      </w:r>
    </w:p>
    <w:p>
      <w:pPr>
        <w:widowControl/>
        <w:jc w:val="center"/>
        <w:rPr>
          <w:rFonts w:ascii="仿宋" w:hAnsi="仿宋" w:eastAsia="仿宋" w:cs="宋体"/>
          <w:kern w:val="0"/>
          <w:szCs w:val="21"/>
        </w:rPr>
      </w:pPr>
      <w:r>
        <w:rPr>
          <w:rFonts w:ascii="仿宋" w:hAnsi="仿宋" w:eastAsia="仿宋" w:cs="宋体"/>
          <w:kern w:val="0"/>
          <w:szCs w:val="21"/>
        </w:rPr>
        <w:t>注册制与核准制的主要区别</w:t>
      </w:r>
    </w:p>
    <w:p>
      <w:pPr>
        <w:widowControl/>
        <w:ind w:firstLine="534"/>
        <w:jc w:val="left"/>
        <w:rPr>
          <w:rFonts w:ascii="宋体" w:hAnsi="宋体" w:eastAsia="宋体" w:cs="宋体"/>
          <w:kern w:val="0"/>
          <w:sz w:val="24"/>
          <w:szCs w:val="24"/>
        </w:rPr>
      </w:pPr>
      <w:r>
        <w:rPr>
          <w:rFonts w:ascii="宋体" w:hAnsi="宋体" w:eastAsia="宋体" w:cs="宋体"/>
          <w:kern w:val="0"/>
          <w:sz w:val="24"/>
          <w:szCs w:val="24"/>
        </w:rPr>
        <w:t>在注册制下证券发行审核机构只对注册文件进行形式审查，不进行实质判断，即降低上市门槛；同时配套有中介机构即券商对预备上市公司的考查，及时对作弊中介商加强处罚；并配套有降低退市门槛的规则。</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b/>
          <w:bCs/>
          <w:kern w:val="0"/>
          <w:sz w:val="24"/>
          <w:szCs w:val="24"/>
        </w:rPr>
        <w:t>注册制大事记</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74310" cy="5274310"/>
            <wp:effectExtent l="0" t="0" r="2540" b="254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5274310"/>
                    </a:xfrm>
                    <a:prstGeom prst="rect">
                      <a:avLst/>
                    </a:prstGeom>
                    <a:noFill/>
                    <a:ln>
                      <a:noFill/>
                    </a:ln>
                  </pic:spPr>
                </pic:pic>
              </a:graphicData>
            </a:graphic>
          </wp:inline>
        </w:drawing>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b/>
          <w:bCs/>
          <w:kern w:val="0"/>
          <w:sz w:val="24"/>
          <w:szCs w:val="24"/>
        </w:rPr>
        <w:t>全面注册制对股市的影响</w:t>
      </w:r>
    </w:p>
    <w:p>
      <w:pPr>
        <w:widowControl/>
        <w:ind w:firstLine="534"/>
        <w:jc w:val="left"/>
        <w:rPr>
          <w:rFonts w:ascii="宋体" w:hAnsi="宋体" w:eastAsia="宋体" w:cs="宋体"/>
          <w:kern w:val="0"/>
          <w:sz w:val="24"/>
          <w:szCs w:val="24"/>
        </w:rPr>
      </w:pPr>
      <w:r>
        <w:rPr>
          <w:rFonts w:ascii="宋体" w:hAnsi="宋体" w:eastAsia="宋体" w:cs="宋体"/>
          <w:kern w:val="0"/>
          <w:sz w:val="23"/>
          <w:szCs w:val="23"/>
        </w:rPr>
        <w:t>•</w:t>
      </w:r>
      <w:r>
        <w:rPr>
          <w:rFonts w:ascii="宋体" w:hAnsi="宋体" w:eastAsia="宋体" w:cs="宋体"/>
          <w:b/>
          <w:bCs/>
          <w:kern w:val="0"/>
          <w:sz w:val="23"/>
          <w:szCs w:val="23"/>
        </w:rPr>
        <w:t>降低上市门槛，促进A股市场容量增加。</w:t>
      </w:r>
      <w:r>
        <w:rPr>
          <w:rFonts w:ascii="宋体" w:hAnsi="宋体" w:eastAsia="宋体" w:cs="宋体"/>
          <w:kern w:val="0"/>
          <w:sz w:val="23"/>
          <w:szCs w:val="23"/>
        </w:rPr>
        <w:t>全面注册制的施行让 A 股市场更加趋向市场化，在更完善的市场环境下，投资人会更有入场意愿，将提振投资者信心，促进市场上行。</w:t>
      </w:r>
    </w:p>
    <w:p>
      <w:pPr>
        <w:widowControl/>
        <w:ind w:firstLine="534"/>
        <w:jc w:val="left"/>
        <w:rPr>
          <w:rFonts w:ascii="宋体" w:hAnsi="宋体" w:eastAsia="宋体" w:cs="宋体"/>
          <w:kern w:val="0"/>
          <w:sz w:val="24"/>
          <w:szCs w:val="24"/>
        </w:rPr>
      </w:pPr>
      <w:r>
        <w:rPr>
          <w:rFonts w:ascii="宋体" w:hAnsi="宋体" w:eastAsia="宋体" w:cs="宋体"/>
          <w:kern w:val="0"/>
          <w:sz w:val="23"/>
          <w:szCs w:val="23"/>
        </w:rPr>
        <w:t>•</w:t>
      </w:r>
      <w:r>
        <w:rPr>
          <w:rFonts w:ascii="宋体" w:hAnsi="宋体" w:eastAsia="宋体" w:cs="宋体"/>
          <w:b/>
          <w:bCs/>
          <w:kern w:val="0"/>
          <w:sz w:val="23"/>
          <w:szCs w:val="23"/>
        </w:rPr>
        <w:t>全面注册制可能加剧资源向行业头部集中。</w:t>
      </w:r>
      <w:r>
        <w:rPr>
          <w:rFonts w:ascii="宋体" w:hAnsi="宋体" w:eastAsia="宋体" w:cs="宋体"/>
          <w:kern w:val="0"/>
          <w:sz w:val="23"/>
          <w:szCs w:val="23"/>
        </w:rPr>
        <w:t>注册制将实质审核交给市场，可能会加剧马太效应。</w:t>
      </w:r>
      <w:r>
        <w:rPr>
          <w:rFonts w:ascii="宋体" w:hAnsi="宋体" w:eastAsia="宋体" w:cs="宋体"/>
          <w:color w:val="A0A0A0"/>
          <w:kern w:val="0"/>
          <w:szCs w:val="21"/>
        </w:rPr>
        <w:t>（马太效应，一种强者愈强、弱者愈弱的现象，广泛应用于社会心理学、教育、金融以及科学领域。）</w:t>
      </w:r>
    </w:p>
    <w:p>
      <w:pPr>
        <w:widowControl/>
        <w:ind w:firstLine="534"/>
        <w:jc w:val="left"/>
        <w:rPr>
          <w:rFonts w:ascii="宋体" w:hAnsi="宋体" w:eastAsia="宋体" w:cs="宋体"/>
          <w:kern w:val="0"/>
          <w:sz w:val="24"/>
          <w:szCs w:val="24"/>
        </w:rPr>
      </w:pPr>
      <w:r>
        <w:rPr>
          <w:rFonts w:ascii="宋体" w:hAnsi="宋体" w:eastAsia="宋体" w:cs="宋体"/>
          <w:kern w:val="0"/>
          <w:sz w:val="23"/>
          <w:szCs w:val="23"/>
        </w:rPr>
        <w:t>•</w:t>
      </w:r>
      <w:r>
        <w:rPr>
          <w:rFonts w:ascii="宋体" w:hAnsi="宋体" w:eastAsia="宋体" w:cs="宋体"/>
          <w:b/>
          <w:bCs/>
          <w:kern w:val="0"/>
          <w:sz w:val="23"/>
          <w:szCs w:val="23"/>
        </w:rPr>
        <w:t>全面注册制施行后退市力度可能加大。</w:t>
      </w:r>
      <w:r>
        <w:rPr>
          <w:rFonts w:ascii="宋体" w:hAnsi="宋体" w:eastAsia="宋体" w:cs="宋体"/>
          <w:kern w:val="0"/>
          <w:sz w:val="23"/>
          <w:szCs w:val="23"/>
        </w:rPr>
        <w:t>全面注册制施行后，对发行人的实质审查被交由市场完成，更加市场化的退市机制将加速质次公司的退市出清，有助于进一步促进A股市场形成“有进有出、优胜劣汰”的良好生态。</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74310" cy="3325495"/>
            <wp:effectExtent l="0" t="0" r="2540" b="8255"/>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325495"/>
                    </a:xfrm>
                    <a:prstGeom prst="rect">
                      <a:avLst/>
                    </a:prstGeom>
                    <a:noFill/>
                    <a:ln>
                      <a:noFill/>
                    </a:ln>
                  </pic:spPr>
                </pic:pic>
              </a:graphicData>
            </a:graphic>
          </wp:inline>
        </w:drawing>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b/>
          <w:bCs/>
          <w:kern w:val="0"/>
          <w:sz w:val="24"/>
          <w:szCs w:val="24"/>
        </w:rPr>
        <w:t>全面注册制施行后，中小投资者该如何应对？</w:t>
      </w:r>
    </w:p>
    <w:p>
      <w:pPr>
        <w:widowControl/>
        <w:ind w:firstLine="534"/>
        <w:jc w:val="left"/>
        <w:rPr>
          <w:rFonts w:ascii="宋体" w:hAnsi="宋体" w:eastAsia="宋体" w:cs="宋体"/>
          <w:kern w:val="0"/>
          <w:sz w:val="24"/>
          <w:szCs w:val="24"/>
        </w:rPr>
      </w:pPr>
      <w:r>
        <w:rPr>
          <w:rFonts w:ascii="宋体" w:hAnsi="宋体" w:eastAsia="宋体" w:cs="宋体"/>
          <w:kern w:val="0"/>
          <w:sz w:val="23"/>
          <w:szCs w:val="23"/>
        </w:rPr>
        <w:t>在注册制下，中小投资者将直接参与到对上市公司所披露信息真伪的鉴别、价值判断和行业分析等专业性较强的事项中来，因此需要中小投资者不断提高专业判断能力、监督能力和市场分析能力等，才能在纷繁复杂的股市信息中去伪存真，淘汰虚增业绩、恶意隐瞒重大事项等垃圾股票，真正将有限的资金投资到有潜在价值和增长潜力的优势蓝筹股票，以保护其合法权益。</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74310" cy="3517900"/>
            <wp:effectExtent l="0" t="0" r="2540" b="635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517900"/>
                    </a:xfrm>
                    <a:prstGeom prst="rect">
                      <a:avLst/>
                    </a:prstGeom>
                    <a:noFill/>
                    <a:ln>
                      <a:noFill/>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3"/>
          <w:szCs w:val="23"/>
        </w:rPr>
        <w:t>中小投资者专业素养的培养可以从以下几个方面入手:</w:t>
      </w:r>
    </w:p>
    <w:p>
      <w:pPr>
        <w:widowControl/>
        <w:ind w:firstLine="534"/>
        <w:jc w:val="left"/>
        <w:rPr>
          <w:rFonts w:ascii="宋体" w:hAnsi="宋体" w:eastAsia="宋体" w:cs="宋体"/>
          <w:kern w:val="0"/>
          <w:sz w:val="24"/>
          <w:szCs w:val="24"/>
        </w:rPr>
      </w:pPr>
      <w:r>
        <w:rPr>
          <w:rFonts w:ascii="宋体" w:hAnsi="宋体" w:eastAsia="宋体" w:cs="宋体"/>
          <w:b/>
          <w:bCs/>
          <w:kern w:val="0"/>
          <w:sz w:val="23"/>
          <w:szCs w:val="23"/>
        </w:rPr>
        <w:t>一是要具有财务税务、股票、股市等基础知</w:t>
      </w:r>
      <w:bookmarkStart w:id="0" w:name="_GoBack"/>
      <w:bookmarkEnd w:id="0"/>
      <w:r>
        <w:rPr>
          <w:rFonts w:ascii="宋体" w:hAnsi="宋体" w:eastAsia="宋体" w:cs="宋体"/>
          <w:b/>
          <w:bCs/>
          <w:kern w:val="0"/>
          <w:sz w:val="23"/>
          <w:szCs w:val="23"/>
        </w:rPr>
        <w:t>识。</w:t>
      </w:r>
      <w:r>
        <w:rPr>
          <w:rFonts w:ascii="宋体" w:hAnsi="宋体" w:eastAsia="宋体" w:cs="宋体"/>
          <w:kern w:val="0"/>
          <w:sz w:val="23"/>
          <w:szCs w:val="23"/>
        </w:rPr>
        <w:t>能够读懂上市公司所发布的各类财务报表、理解财务数据的含义、明晰财务指标之间的勾稽关系</w:t>
      </w:r>
      <w:r>
        <w:rPr>
          <w:rFonts w:ascii="宋体" w:hAnsi="宋体" w:eastAsia="宋体" w:cs="宋体"/>
          <w:color w:val="A0A0A0"/>
          <w:kern w:val="0"/>
          <w:szCs w:val="21"/>
        </w:rPr>
        <w:t>（勾稽关系指账簿和会计报表中有关数字之间存在的，可据以相互考察、核对的关系）</w:t>
      </w:r>
      <w:r>
        <w:rPr>
          <w:rFonts w:ascii="宋体" w:hAnsi="宋体" w:eastAsia="宋体" w:cs="宋体"/>
          <w:kern w:val="0"/>
          <w:sz w:val="23"/>
          <w:szCs w:val="23"/>
        </w:rPr>
        <w:t>；</w:t>
      </w:r>
    </w:p>
    <w:p>
      <w:pPr>
        <w:widowControl/>
        <w:ind w:firstLine="534"/>
        <w:jc w:val="left"/>
        <w:rPr>
          <w:rFonts w:ascii="宋体" w:hAnsi="宋体" w:eastAsia="宋体" w:cs="宋体"/>
          <w:kern w:val="0"/>
          <w:sz w:val="24"/>
          <w:szCs w:val="24"/>
        </w:rPr>
      </w:pPr>
      <w:r>
        <w:rPr>
          <w:rFonts w:ascii="宋体" w:hAnsi="宋体" w:eastAsia="宋体" w:cs="宋体"/>
          <w:b/>
          <w:bCs/>
          <w:kern w:val="0"/>
          <w:sz w:val="23"/>
          <w:szCs w:val="23"/>
        </w:rPr>
        <w:t>二是要有风险意识。</w:t>
      </w:r>
      <w:r>
        <w:rPr>
          <w:rFonts w:ascii="宋体" w:hAnsi="宋体" w:eastAsia="宋体" w:cs="宋体"/>
          <w:kern w:val="0"/>
          <w:sz w:val="23"/>
          <w:szCs w:val="23"/>
        </w:rPr>
        <w:t>中小投资者要掌握股市运行规律的客观规律，培养风险意识，能够从宏观上对股市运行的大势做出初步研判；</w:t>
      </w:r>
    </w:p>
    <w:p>
      <w:pPr>
        <w:widowControl/>
        <w:ind w:firstLine="534"/>
        <w:jc w:val="left"/>
        <w:rPr>
          <w:rFonts w:ascii="宋体" w:hAnsi="宋体" w:eastAsia="宋体" w:cs="宋体"/>
          <w:kern w:val="0"/>
          <w:sz w:val="24"/>
          <w:szCs w:val="24"/>
        </w:rPr>
      </w:pPr>
      <w:r>
        <w:rPr>
          <w:rFonts w:ascii="宋体" w:hAnsi="宋体" w:eastAsia="宋体" w:cs="宋体"/>
          <w:b/>
          <w:bCs/>
          <w:kern w:val="0"/>
          <w:sz w:val="23"/>
          <w:szCs w:val="23"/>
        </w:rPr>
        <w:t>三是要具有分析、判断能力。</w:t>
      </w:r>
      <w:r>
        <w:rPr>
          <w:rFonts w:ascii="宋体" w:hAnsi="宋体" w:eastAsia="宋体" w:cs="宋体"/>
          <w:kern w:val="0"/>
          <w:sz w:val="23"/>
          <w:szCs w:val="23"/>
        </w:rPr>
        <w:t>能够深入了解和分析自己所购买股票的行业发展、具体上市公司的财务指标、运营现状及发展潜能，遵循客观规律，不盲目跟风；</w:t>
      </w:r>
    </w:p>
    <w:p>
      <w:pPr>
        <w:widowControl/>
        <w:ind w:firstLine="534"/>
        <w:jc w:val="left"/>
        <w:rPr>
          <w:rFonts w:ascii="宋体" w:hAnsi="宋体" w:eastAsia="宋体" w:cs="宋体"/>
          <w:kern w:val="0"/>
          <w:sz w:val="24"/>
          <w:szCs w:val="24"/>
        </w:rPr>
      </w:pPr>
      <w:r>
        <w:rPr>
          <w:rFonts w:ascii="宋体" w:hAnsi="宋体" w:eastAsia="宋体" w:cs="宋体"/>
          <w:b/>
          <w:bCs/>
          <w:kern w:val="0"/>
          <w:sz w:val="23"/>
          <w:szCs w:val="23"/>
        </w:rPr>
        <w:t>四是要有监督能力。</w:t>
      </w:r>
      <w:r>
        <w:rPr>
          <w:rFonts w:ascii="宋体" w:hAnsi="宋体" w:eastAsia="宋体" w:cs="宋体"/>
          <w:kern w:val="0"/>
          <w:sz w:val="23"/>
          <w:szCs w:val="23"/>
        </w:rPr>
        <w:t>能够主动识别侵犯自身权益的违规、违法现象，并能利用法律的武器进行维权。</w:t>
      </w:r>
    </w:p>
    <w:p>
      <w:pPr>
        <w:widowControl/>
        <w:jc w:val="left"/>
        <w:rPr>
          <w:rFonts w:ascii="宋体" w:hAnsi="宋体" w:eastAsia="宋体" w:cs="宋体"/>
          <w:kern w:val="0"/>
          <w:sz w:val="24"/>
          <w:szCs w:val="24"/>
        </w:rPr>
      </w:pPr>
    </w:p>
    <w:p>
      <w:pPr>
        <w:widowControl/>
        <w:ind w:firstLine="534"/>
        <w:jc w:val="left"/>
        <w:rPr>
          <w:rFonts w:ascii="宋体" w:hAnsi="宋体" w:eastAsia="宋体" w:cs="宋体"/>
          <w:kern w:val="0"/>
          <w:sz w:val="24"/>
          <w:szCs w:val="24"/>
        </w:rPr>
      </w:pPr>
      <w:r>
        <w:rPr>
          <w:rFonts w:ascii="宋体" w:hAnsi="宋体" w:eastAsia="宋体" w:cs="宋体"/>
          <w:kern w:val="0"/>
          <w:sz w:val="23"/>
          <w:szCs w:val="23"/>
        </w:rPr>
        <w:t>全面注册制意义重大，对资本市场的影响深远且持久，承德露露作为一家上市公司会把握当前市场发展特点和发展趋势，提升公司治理水平，促进公司可持续发展；同时也将致力于保护好高度市场化环境下中小投资者的利益，努力以更好的经营成果回报广大投资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E6"/>
    <w:rsid w:val="00491751"/>
    <w:rsid w:val="006672D0"/>
    <w:rsid w:val="00C359E6"/>
    <w:rsid w:val="0CF8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1166</Words>
  <Characters>1175</Characters>
  <Lines>8</Lines>
  <Paragraphs>2</Paragraphs>
  <TotalTime>71</TotalTime>
  <ScaleCrop>false</ScaleCrop>
  <LinksUpToDate>false</LinksUpToDate>
  <CharactersWithSpaces>1178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2023-03-21T04:58:00Z</dcterms:created>
  <dc:creator>biang</dc:creator>
  <cp:lastModifiedBy>似曾相识</cp:lastModifiedBy>
  <dcterms:modified xsi:type="dcterms:W3CDTF">2023-03-22T09:14:48Z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E02C80AFDC4A462CB0B4C2113303BCCA</vt:lpwstr>
  </property>
</Properties>
</file>